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7D22"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南昌大学</w:t>
      </w:r>
      <w:r>
        <w:rPr>
          <w:rFonts w:hint="eastAsia" w:ascii="微软雅黑" w:hAnsi="微软雅黑" w:eastAsia="微软雅黑"/>
          <w:u w:val="single"/>
        </w:rPr>
        <w:t xml:space="preserve"> </w:t>
      </w:r>
      <w:r>
        <w:rPr>
          <w:rFonts w:hint="eastAsia" w:ascii="微软雅黑" w:hAnsi="微软雅黑" w:eastAsia="微软雅黑"/>
          <w:u w:val="single"/>
          <w:lang w:val="en-US" w:eastAsia="zh-CN"/>
        </w:rPr>
        <w:t xml:space="preserve">2026 </w:t>
      </w:r>
      <w:r>
        <w:rPr>
          <w:rFonts w:hint="eastAsia" w:ascii="微软雅黑" w:hAnsi="微软雅黑" w:eastAsia="微软雅黑"/>
        </w:rPr>
        <w:t>届本科生毕业论文（设计）答辩信息公示表</w:t>
      </w:r>
    </w:p>
    <w:p w14:paraId="5C88C8F8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 xml:space="preserve">学院： </w:t>
      </w:r>
      <w:r>
        <w:rPr>
          <w:rFonts w:hint="eastAsia" w:ascii="微软雅黑" w:hAnsi="微软雅黑" w:eastAsia="微软雅黑"/>
          <w:lang w:val="en-US" w:eastAsia="zh-CN"/>
        </w:rPr>
        <w:t>新闻与传播学院</w:t>
      </w:r>
      <w:r>
        <w:rPr>
          <w:rFonts w:hint="eastAsia" w:ascii="微软雅黑" w:hAnsi="微软雅黑" w:eastAsia="微软雅黑"/>
        </w:rPr>
        <w:t xml:space="preserve">  专业：</w:t>
      </w:r>
      <w:r>
        <w:rPr>
          <w:rFonts w:hint="eastAsia" w:ascii="微软雅黑" w:hAnsi="微软雅黑" w:eastAsia="微软雅黑"/>
          <w:lang w:val="en-US" w:eastAsia="zh-CN"/>
        </w:rPr>
        <w:t>广告学</w:t>
      </w:r>
      <w:r>
        <w:rPr>
          <w:rFonts w:hint="eastAsia" w:ascii="微软雅黑" w:hAnsi="微软雅黑" w:eastAsia="微软雅黑"/>
        </w:rPr>
        <w:t xml:space="preserve">  班级:</w:t>
      </w:r>
      <w:r>
        <w:rPr>
          <w:rFonts w:hint="eastAsia" w:ascii="微软雅黑" w:hAnsi="微软雅黑" w:eastAsia="微软雅黑"/>
          <w:lang w:val="en-US" w:eastAsia="zh-CN"/>
        </w:rPr>
        <w:t>广告学221班、广告学222班 广告学辅修</w:t>
      </w:r>
    </w:p>
    <w:tbl>
      <w:tblPr>
        <w:tblStyle w:val="2"/>
        <w:tblW w:w="83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49"/>
        <w:gridCol w:w="571"/>
        <w:gridCol w:w="894"/>
        <w:gridCol w:w="906"/>
        <w:gridCol w:w="179"/>
        <w:gridCol w:w="1621"/>
        <w:gridCol w:w="1080"/>
        <w:gridCol w:w="1493"/>
      </w:tblGrid>
      <w:tr w14:paraId="27B6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 w14:paraId="5BC0C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答辩组号</w:t>
            </w:r>
          </w:p>
        </w:tc>
        <w:tc>
          <w:tcPr>
            <w:tcW w:w="1614" w:type="dxa"/>
            <w:gridSpan w:val="3"/>
            <w:noWrap w:val="0"/>
            <w:vAlign w:val="top"/>
          </w:tcPr>
          <w:p w14:paraId="2DA3C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B组</w:t>
            </w:r>
          </w:p>
        </w:tc>
        <w:tc>
          <w:tcPr>
            <w:tcW w:w="1085" w:type="dxa"/>
            <w:gridSpan w:val="2"/>
            <w:noWrap w:val="0"/>
            <w:vAlign w:val="top"/>
          </w:tcPr>
          <w:p w14:paraId="5E027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答辩时间</w:t>
            </w:r>
          </w:p>
        </w:tc>
        <w:tc>
          <w:tcPr>
            <w:tcW w:w="1621" w:type="dxa"/>
            <w:noWrap w:val="0"/>
            <w:vAlign w:val="top"/>
          </w:tcPr>
          <w:p w14:paraId="1C6F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2026年5月30日8:30</w:t>
            </w:r>
          </w:p>
        </w:tc>
        <w:tc>
          <w:tcPr>
            <w:tcW w:w="1080" w:type="dxa"/>
            <w:noWrap w:val="0"/>
            <w:vAlign w:val="top"/>
          </w:tcPr>
          <w:p w14:paraId="45658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答辩地点</w:t>
            </w:r>
          </w:p>
        </w:tc>
        <w:tc>
          <w:tcPr>
            <w:tcW w:w="1493" w:type="dxa"/>
            <w:noWrap w:val="0"/>
            <w:vAlign w:val="top"/>
          </w:tcPr>
          <w:p w14:paraId="62D31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</w:rPr>
              <w:t>文法楼A13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2</w:t>
            </w:r>
          </w:p>
        </w:tc>
      </w:tr>
      <w:tr w14:paraId="75F9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 w14:paraId="13491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答辩委员会</w:t>
            </w:r>
          </w:p>
        </w:tc>
        <w:tc>
          <w:tcPr>
            <w:tcW w:w="720" w:type="dxa"/>
            <w:gridSpan w:val="2"/>
            <w:noWrap w:val="0"/>
            <w:vAlign w:val="top"/>
          </w:tcPr>
          <w:p w14:paraId="50005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组长</w:t>
            </w:r>
          </w:p>
        </w:tc>
        <w:tc>
          <w:tcPr>
            <w:tcW w:w="894" w:type="dxa"/>
            <w:noWrap w:val="0"/>
            <w:vAlign w:val="top"/>
          </w:tcPr>
          <w:p w14:paraId="24832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刘西平</w:t>
            </w:r>
          </w:p>
        </w:tc>
        <w:tc>
          <w:tcPr>
            <w:tcW w:w="906" w:type="dxa"/>
            <w:noWrap w:val="0"/>
            <w:vAlign w:val="top"/>
          </w:tcPr>
          <w:p w14:paraId="53F1B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成员</w:t>
            </w:r>
          </w:p>
        </w:tc>
        <w:tc>
          <w:tcPr>
            <w:tcW w:w="4373" w:type="dxa"/>
            <w:gridSpan w:val="4"/>
            <w:noWrap w:val="0"/>
            <w:vAlign w:val="top"/>
          </w:tcPr>
          <w:p w14:paraId="3CE6A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微软雅黑" w:hAnsi="微软雅黑" w:eastAsia="微软雅黑"/>
                <w:lang w:val="en-US"/>
              </w:rPr>
            </w:pPr>
            <w:r>
              <w:rPr>
                <w:rFonts w:hint="default" w:ascii="微软雅黑" w:hAnsi="微软雅黑" w:eastAsia="微软雅黑"/>
                <w:lang w:val="en-US"/>
              </w:rPr>
              <w:t>陈环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/>
                <w:lang w:val="en-US"/>
              </w:rPr>
              <w:t>揭云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/>
                <w:lang w:val="en-US"/>
              </w:rPr>
              <w:t>罗俊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/>
                <w:lang w:val="en-US"/>
              </w:rPr>
              <w:t>寻茹茹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/>
                <w:lang w:val="en-US"/>
              </w:rPr>
              <w:t>谢薇</w:t>
            </w:r>
          </w:p>
        </w:tc>
      </w:tr>
      <w:tr w14:paraId="1BEB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3" w:type="dxa"/>
            <w:gridSpan w:val="10"/>
            <w:noWrap w:val="0"/>
            <w:vAlign w:val="top"/>
          </w:tcPr>
          <w:p w14:paraId="31519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记录员：谢薇</w:t>
            </w:r>
          </w:p>
        </w:tc>
      </w:tr>
      <w:tr w14:paraId="219F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C56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7189C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74F48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学号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24213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题目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6AC04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指导教师</w:t>
            </w:r>
          </w:p>
        </w:tc>
      </w:tr>
      <w:tr w14:paraId="73F0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1A36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7124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周俏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317B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6301222133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1840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《大学生经济来源转变对消费心理与行为的影响研究——以南昌市为例》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58C2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陈环</w:t>
            </w:r>
          </w:p>
        </w:tc>
      </w:tr>
      <w:tr w14:paraId="58F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43B7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707B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袁豪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7360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6301222020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0550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抖音平台长剧集宣发的情感传播策略和效果研究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081B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寻茹茹</w:t>
            </w:r>
          </w:p>
        </w:tc>
      </w:tr>
      <w:tr w14:paraId="4EA9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199A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CCC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施鸿森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6BAB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6301222125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11A8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“KOI可宜”奶茶品牌视觉识别系统设计方案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2519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</w:tr>
      <w:tr w14:paraId="271F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3BC9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28B5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潘萱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1C2F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6301222081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7390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“我的茶有料有故事”：古茗“专属茶语”用户参与式营销策划案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5013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</w:tr>
      <w:tr w14:paraId="3755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3F57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38CA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熊泽贤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5420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6301222068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4499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非遗类短视频的品牌塑造与文化传播研究——以李子柒视频为例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27F8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寻茹茹</w:t>
            </w:r>
          </w:p>
        </w:tc>
      </w:tr>
      <w:tr w14:paraId="1B2D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52A0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405C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5813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6301222015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35F8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宝矿力水特品牌整合营销传播策划案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732C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谢薇</w:t>
            </w:r>
          </w:p>
        </w:tc>
      </w:tr>
      <w:tr w14:paraId="469E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2F3B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5434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许含芳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0098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6301222046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0501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数智时代广告用户画像的生成机制与风险应对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42D2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谢薇</w:t>
            </w:r>
          </w:p>
        </w:tc>
      </w:tr>
      <w:tr w14:paraId="7660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2F52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2640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蓝女琇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0A6B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6301222060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28AC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数据驱动下的情绪共鸣：泡泡玛特“星星人”IP营销策略研究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7A77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刘西平</w:t>
            </w:r>
          </w:p>
        </w:tc>
      </w:tr>
      <w:tr w14:paraId="3617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3958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53D2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赖可欣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749F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6301222168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5D77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山海遗珍：员木香茶油品牌传播策划案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5EFF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</w:tr>
      <w:tr w14:paraId="2334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1516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5965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梁玉锌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4BE0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6301222019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4732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《燕云十六声》×《虹猫蓝兔七侠传》IP联动营销策划案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767C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谢薇</w:t>
            </w:r>
          </w:p>
        </w:tc>
      </w:tr>
      <w:tr w14:paraId="44BB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8AA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6DB0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邱昌东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4919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6301222088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6663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AIGC对品牌一致性的解构和应对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5CE6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刘西平</w:t>
            </w:r>
          </w:p>
        </w:tc>
      </w:tr>
      <w:tr w14:paraId="49BE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CF8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4407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杜瑞淇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7C1A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6301222193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3546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AI营销智能体对品牌消费决策路径的影响研究</w:t>
            </w:r>
          </w:p>
          <w:p w14:paraId="1E74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——以“阿里iFlow CLI千问模型”为个案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2039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刘西平</w:t>
            </w:r>
          </w:p>
        </w:tc>
      </w:tr>
      <w:tr w14:paraId="1ABA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359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3D09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邓好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194D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6301222092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1990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信息差理论视角下智能广告的伦理困境研究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2C8A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刘西平</w:t>
            </w:r>
          </w:p>
        </w:tc>
      </w:tr>
      <w:tr w14:paraId="0A54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7A00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70E1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赖宛婷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5AAE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6301222127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4A6D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社交媒体美妆广告中“素人”与“KOL”的广告效果对比研究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3022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陈环</w:t>
            </w:r>
          </w:p>
        </w:tc>
      </w:tr>
      <w:tr w14:paraId="5B0F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193A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6AF3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朱业斌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017B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6301222198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3AC5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《基于定位理论的城市品牌破圈传播策略研究——以“花炮之乡”浏阳为例》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7E7E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揭云</w:t>
            </w:r>
          </w:p>
        </w:tc>
      </w:tr>
      <w:tr w14:paraId="5E01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30F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61ED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王思闳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1E37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6301221063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4F20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OTC广告信息诉求框架对消费者药物功效与风险感知的影响--基于布洛芬广告的实证研究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4A8E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</w:tr>
      <w:tr w14:paraId="05F9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2EE2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46EF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陈慧琴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112B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6301222144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764C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小红书平台美妆KOC内容特性对消费者购买意愿的影响研究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4B5C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陈环</w:t>
            </w:r>
          </w:p>
        </w:tc>
      </w:tr>
      <w:tr w14:paraId="3F72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725D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365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李明坤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66E5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6301222180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5758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基于创新扩散理论的品牌传播策略研究——以网络用语“哈基米”为例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049E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揭云</w:t>
            </w:r>
          </w:p>
        </w:tc>
      </w:tr>
      <w:tr w14:paraId="39CD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4350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7F3B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黄洪康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5E78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6301222070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5E47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AI时代品牌叙事重构：人机共创机制研究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3869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刘西平</w:t>
            </w:r>
          </w:p>
        </w:tc>
      </w:tr>
      <w:tr w14:paraId="5DA0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72D2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9BA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孙冉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4836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6301222104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37D2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生成式人工智能APP隐私政策的文本分析及治理研究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0600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谢薇</w:t>
            </w:r>
          </w:p>
        </w:tc>
      </w:tr>
      <w:tr w14:paraId="6BE7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5758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3452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魏士然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67F2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6301222003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0829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天与地的相握：“中国•文昌”文旅营销策划案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7BD4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</w:tr>
      <w:tr w14:paraId="2A5F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22CF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281C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玉米提艾力·依马木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1A8E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6301222208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5DB9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创意设计与技术融合：人工智能广告成片的协同机制探究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34AC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揭云</w:t>
            </w:r>
          </w:p>
        </w:tc>
      </w:tr>
      <w:tr w14:paraId="2989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7818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4BF7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黎俊欣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0060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6301222014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48C2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《用户生成内容对游戏玩家消费意愿的影响研究——以游戏《燕云十六声》为例》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5310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寻茹茹</w:t>
            </w:r>
          </w:p>
        </w:tc>
      </w:tr>
      <w:tr w14:paraId="752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5D13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5594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7DB5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6301222073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105F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论“娃妈”在棉花娃娃圈层营销的中介作用——以“棉花美娃娃”微博超话社群为例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3503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揭云</w:t>
            </w:r>
          </w:p>
        </w:tc>
      </w:tr>
      <w:tr w14:paraId="0871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7BEB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2AF6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黄爱平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1EDB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6301222188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1607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品牌虚拟代言人形象对消费者购买意愿的影响研究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0C8D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陈环</w:t>
            </w:r>
          </w:p>
        </w:tc>
      </w:tr>
      <w:tr w14:paraId="2B90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3DCE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F42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黄航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2D94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6301222199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0864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个体利益与国家危亡：“孤岛”时期上海报刊广告中的爱国主义叙事研究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2710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揭云</w:t>
            </w:r>
          </w:p>
        </w:tc>
      </w:tr>
      <w:tr w14:paraId="60EA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4F6F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D1E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张宴语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0CFA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6301222058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7A15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星巴克生咖系列春季整合营销策划案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76F4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谢薇</w:t>
            </w:r>
          </w:p>
        </w:tc>
      </w:tr>
      <w:tr w14:paraId="1A85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11E5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624B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姚子熙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711C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6301222114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203F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《AIGC在影视营销物料生成中的应用与效果研究》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4985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寻茹茹</w:t>
            </w:r>
          </w:p>
        </w:tc>
      </w:tr>
      <w:tr w14:paraId="434B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3DD1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221C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黎青云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104C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6301222134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69AA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直播电商广告中 “虚假宣传” 的表现形式与监管对策研究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1525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陈环</w:t>
            </w:r>
          </w:p>
        </w:tc>
      </w:tr>
      <w:tr w14:paraId="7634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0C9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4960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3BCB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6301222085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413E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基于4I理论的新农人短视频传播策略研究——以抖音平台为例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6C19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寻茹茹</w:t>
            </w:r>
          </w:p>
        </w:tc>
      </w:tr>
      <w:tr w14:paraId="13DA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4D39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6D16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周茗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16E0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5010122050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5DF8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喜马拉雅档案类节目的传播价值研究</w:t>
            </w:r>
          </w:p>
        </w:tc>
        <w:tc>
          <w:tcPr>
            <w:tcW w:w="2573" w:type="dxa"/>
            <w:gridSpan w:val="2"/>
            <w:noWrap w:val="0"/>
            <w:vAlign w:val="top"/>
          </w:tcPr>
          <w:p w14:paraId="3C86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揭云</w:t>
            </w:r>
          </w:p>
        </w:tc>
      </w:tr>
    </w:tbl>
    <w:p w14:paraId="3DEF48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5518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8097F"/>
    <w:rsid w:val="01064C9A"/>
    <w:rsid w:val="11FA43A7"/>
    <w:rsid w:val="2078097F"/>
    <w:rsid w:val="34FF7FF6"/>
    <w:rsid w:val="3B2220F5"/>
    <w:rsid w:val="470362D1"/>
    <w:rsid w:val="47946129"/>
    <w:rsid w:val="4B697E04"/>
    <w:rsid w:val="509C7DFC"/>
    <w:rsid w:val="596A003E"/>
    <w:rsid w:val="5CFC40FC"/>
    <w:rsid w:val="5E9E628F"/>
    <w:rsid w:val="705F4C6D"/>
    <w:rsid w:val="70FA6610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1473</Characters>
  <Lines>0</Lines>
  <Paragraphs>0</Paragraphs>
  <TotalTime>1</TotalTime>
  <ScaleCrop>false</ScaleCrop>
  <LinksUpToDate>false</LinksUpToDate>
  <CharactersWithSpaces>1489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2026-05-15T10:02:00Z</dcterms:created>
  <dc:creator>贺约蔚峦汹</dc:creator>
  <cp:lastModifiedBy>邓志丹</cp:lastModifiedBy>
  <dcterms:modified xsi:type="dcterms:W3CDTF">2026-05-20T06:35:39Z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887AAAC662C34D61873ADCD4CC273F15_13</vt:lpwstr>
  </property>
  <property fmtid="{D5CDD505-2E9C-101B-9397-08002B2CF9AE}" pid="4" name="KSOTemplateDocerSaveRecord">
    <vt:lpwstr>eyJoZGlkIjoiZWFiMTQ0YzhiNTcxZjQ2ZTA0MmY0ZDYzNTdmN2VlYTQiLCJ1c2VySWQiOiI0MDU3Nzg4OTAifQ==</vt:lpwstr>
  </property>
</Properties>
</file>